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DD" w:rsidRPr="008810DD" w:rsidRDefault="008810DD" w:rsidP="008810DD">
      <w:pPr>
        <w:jc w:val="center"/>
        <w:rPr>
          <w:rFonts w:ascii="Arial" w:hAnsi="Arial" w:cs="Arial"/>
          <w:b/>
        </w:rPr>
      </w:pPr>
      <w:r w:rsidRPr="008810DD">
        <w:rPr>
          <w:rFonts w:ascii="Arial" w:hAnsi="Arial" w:cs="Arial"/>
          <w:b/>
        </w:rPr>
        <w:t xml:space="preserve">Fallliste </w:t>
      </w:r>
      <w:r w:rsidR="00834DFF">
        <w:rPr>
          <w:rFonts w:ascii="Arial" w:hAnsi="Arial" w:cs="Arial"/>
          <w:b/>
        </w:rPr>
        <w:t xml:space="preserve">"Handels- und Gesellschaftsrecht" </w:t>
      </w:r>
      <w:r w:rsidRPr="008810DD">
        <w:rPr>
          <w:rFonts w:ascii="Arial" w:hAnsi="Arial" w:cs="Arial"/>
          <w:b/>
        </w:rPr>
        <w:t>gemäß § 6 Abs. 3 FAO</w:t>
      </w:r>
    </w:p>
    <w:p w:rsidR="008810DD" w:rsidRPr="008810DD" w:rsidRDefault="008810DD" w:rsidP="008810DD">
      <w:pPr>
        <w:jc w:val="center"/>
        <w:rPr>
          <w:rFonts w:ascii="Arial" w:hAnsi="Arial" w:cs="Arial"/>
          <w:b/>
        </w:rPr>
      </w:pPr>
    </w:p>
    <w:p w:rsidR="008810DD" w:rsidRPr="008810DD" w:rsidRDefault="008810DD" w:rsidP="008810DD">
      <w:pPr>
        <w:jc w:val="center"/>
        <w:rPr>
          <w:rFonts w:ascii="Arial" w:hAnsi="Arial" w:cs="Arial"/>
          <w:b/>
        </w:rPr>
      </w:pPr>
      <w:r w:rsidRPr="008810DD">
        <w:rPr>
          <w:rFonts w:ascii="Arial" w:hAnsi="Arial" w:cs="Arial"/>
          <w:b/>
        </w:rPr>
        <w:t>- Muster -</w:t>
      </w:r>
    </w:p>
    <w:p w:rsidR="00944C63" w:rsidRDefault="00944C63"/>
    <w:tbl>
      <w:tblPr>
        <w:tblW w:w="15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00"/>
        <w:gridCol w:w="1600"/>
        <w:gridCol w:w="3850"/>
        <w:gridCol w:w="3850"/>
        <w:gridCol w:w="2100"/>
        <w:gridCol w:w="1600"/>
      </w:tblGrid>
      <w:tr w:rsidR="008810DD" w:rsidTr="00AD678B">
        <w:trPr>
          <w:trHeight w:val="1134"/>
        </w:trPr>
        <w:tc>
          <w:tcPr>
            <w:tcW w:w="900" w:type="dxa"/>
            <w:vAlign w:val="center"/>
          </w:tcPr>
          <w:p w:rsidR="008810DD" w:rsidRPr="00AD678B" w:rsidRDefault="008810DD" w:rsidP="00AD6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Lfd. Nr.</w:t>
            </w:r>
          </w:p>
        </w:tc>
        <w:tc>
          <w:tcPr>
            <w:tcW w:w="1600" w:type="dxa"/>
            <w:vAlign w:val="center"/>
          </w:tcPr>
          <w:p w:rsidR="008810DD" w:rsidRPr="00AD678B" w:rsidRDefault="008810DD" w:rsidP="00AD678B">
            <w:pPr>
              <w:ind w:left="-108" w:right="-1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Teilbereich gemäß</w:t>
            </w:r>
          </w:p>
          <w:p w:rsidR="008810DD" w:rsidRPr="00AD678B" w:rsidRDefault="008810DD" w:rsidP="00AD678B">
            <w:pPr>
              <w:ind w:left="-108" w:right="-1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§ 14 i FAO</w:t>
            </w:r>
          </w:p>
        </w:tc>
        <w:tc>
          <w:tcPr>
            <w:tcW w:w="1600" w:type="dxa"/>
            <w:vAlign w:val="center"/>
          </w:tcPr>
          <w:p w:rsidR="00834DFF" w:rsidRPr="00AD678B" w:rsidRDefault="008810DD" w:rsidP="00AD678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Rubrum und/</w:t>
            </w:r>
          </w:p>
          <w:p w:rsidR="008810DD" w:rsidRPr="00AD678B" w:rsidRDefault="008810DD" w:rsidP="00AD678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oder</w:t>
            </w:r>
          </w:p>
          <w:p w:rsidR="008810DD" w:rsidRPr="00AD678B" w:rsidRDefault="00576CBE" w:rsidP="00AD678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i</w:t>
            </w:r>
            <w:r w:rsidR="008810DD" w:rsidRPr="00AD678B">
              <w:rPr>
                <w:rFonts w:ascii="Arial" w:hAnsi="Arial" w:cs="Arial"/>
                <w:sz w:val="20"/>
                <w:szCs w:val="20"/>
              </w:rPr>
              <w:t>nternes Aktenzeichen</w:t>
            </w:r>
          </w:p>
        </w:tc>
        <w:tc>
          <w:tcPr>
            <w:tcW w:w="3850" w:type="dxa"/>
            <w:vAlign w:val="center"/>
          </w:tcPr>
          <w:p w:rsidR="008810DD" w:rsidRPr="00AD678B" w:rsidRDefault="008810DD" w:rsidP="00DC335D">
            <w:pPr>
              <w:ind w:left="-3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Gegenstand</w:t>
            </w:r>
          </w:p>
        </w:tc>
        <w:tc>
          <w:tcPr>
            <w:tcW w:w="3850" w:type="dxa"/>
            <w:vAlign w:val="center"/>
          </w:tcPr>
          <w:p w:rsidR="008810DD" w:rsidRPr="00AD678B" w:rsidRDefault="008810DD" w:rsidP="00AD678B">
            <w:pPr>
              <w:ind w:left="-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Konkrete Art und Umfang</w:t>
            </w:r>
          </w:p>
          <w:p w:rsidR="008810DD" w:rsidRPr="00AD678B" w:rsidRDefault="008810DD" w:rsidP="00DC335D">
            <w:pPr>
              <w:ind w:left="-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der Tätigkeit</w:t>
            </w:r>
          </w:p>
        </w:tc>
        <w:tc>
          <w:tcPr>
            <w:tcW w:w="2100" w:type="dxa"/>
            <w:vAlign w:val="center"/>
          </w:tcPr>
          <w:p w:rsidR="008810DD" w:rsidRPr="00AD678B" w:rsidRDefault="008810DD" w:rsidP="00AD678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 xml:space="preserve">Beginn und Ende </w:t>
            </w:r>
            <w:r w:rsidR="00576CBE" w:rsidRPr="00AD678B">
              <w:rPr>
                <w:rFonts w:ascii="Arial" w:hAnsi="Arial" w:cs="Arial"/>
                <w:sz w:val="20"/>
                <w:szCs w:val="20"/>
              </w:rPr>
              <w:br/>
            </w:r>
            <w:r w:rsidRPr="00AD678B">
              <w:rPr>
                <w:rFonts w:ascii="Arial" w:hAnsi="Arial" w:cs="Arial"/>
                <w:sz w:val="20"/>
                <w:szCs w:val="20"/>
              </w:rPr>
              <w:t>der Tätigkeit /</w:t>
            </w:r>
          </w:p>
          <w:p w:rsidR="008810DD" w:rsidRPr="00AD678B" w:rsidRDefault="008810DD" w:rsidP="00AD67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Stand des Verfahrens</w:t>
            </w:r>
          </w:p>
        </w:tc>
        <w:tc>
          <w:tcPr>
            <w:tcW w:w="1600" w:type="dxa"/>
            <w:vAlign w:val="center"/>
          </w:tcPr>
          <w:p w:rsidR="008810DD" w:rsidRPr="00AD678B" w:rsidRDefault="008810DD" w:rsidP="00AD6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Gericht und gerichtliches Aktenzeichen</w:t>
            </w:r>
          </w:p>
        </w:tc>
      </w:tr>
      <w:tr w:rsidR="008810DD" w:rsidTr="00AD678B">
        <w:trPr>
          <w:trHeight w:val="567"/>
        </w:trPr>
        <w:tc>
          <w:tcPr>
            <w:tcW w:w="15500" w:type="dxa"/>
            <w:gridSpan w:val="7"/>
            <w:vAlign w:val="center"/>
          </w:tcPr>
          <w:p w:rsidR="008810DD" w:rsidRPr="00AD678B" w:rsidRDefault="008810DD" w:rsidP="004F5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78B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4F5C71">
              <w:rPr>
                <w:rFonts w:ascii="Arial" w:hAnsi="Arial" w:cs="Arial"/>
                <w:b/>
                <w:sz w:val="20"/>
                <w:szCs w:val="20"/>
              </w:rPr>
              <w:t>Gerichtliche Streitverfahren, Schieds- oder Mediationsverfahren</w:t>
            </w:r>
          </w:p>
        </w:tc>
      </w:tr>
      <w:tr w:rsidR="008810DD" w:rsidTr="00AD678B">
        <w:trPr>
          <w:trHeight w:val="2268"/>
        </w:trPr>
        <w:tc>
          <w:tcPr>
            <w:tcW w:w="900" w:type="dxa"/>
          </w:tcPr>
          <w:p w:rsidR="008810DD" w:rsidRPr="00AD678B" w:rsidRDefault="00B23056" w:rsidP="00AD678B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8810DD" w:rsidRPr="00AD678B" w:rsidRDefault="00B23056" w:rsidP="00AD678B">
            <w:pPr>
              <w:spacing w:before="30" w:after="3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1600" w:type="dxa"/>
          </w:tcPr>
          <w:p w:rsidR="00844564" w:rsidRPr="00AD678B" w:rsidRDefault="00B23056" w:rsidP="00AD678B">
            <w:pPr>
              <w:spacing w:before="30" w:after="3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ABC GmbH</w:t>
            </w:r>
          </w:p>
          <w:p w:rsidR="00844564" w:rsidRPr="00AD678B" w:rsidRDefault="00B23056" w:rsidP="00AD678B">
            <w:pPr>
              <w:spacing w:before="30" w:after="3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./.</w:t>
            </w:r>
          </w:p>
          <w:p w:rsidR="008810DD" w:rsidRPr="00AD678B" w:rsidRDefault="00B23056" w:rsidP="00AD678B">
            <w:pPr>
              <w:spacing w:before="30" w:after="3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576CBE" w:rsidRPr="00AD678B" w:rsidRDefault="00576CBE" w:rsidP="00AD678B">
            <w:pPr>
              <w:spacing w:before="30" w:after="3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056" w:rsidRPr="00AD678B" w:rsidRDefault="004F5C71" w:rsidP="00AD678B">
            <w:pPr>
              <w:spacing w:before="30" w:after="3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3056" w:rsidRPr="00AD678B">
              <w:rPr>
                <w:rFonts w:ascii="Arial" w:hAnsi="Arial" w:cs="Arial"/>
                <w:sz w:val="20"/>
                <w:szCs w:val="20"/>
              </w:rPr>
              <w:t>/2595</w:t>
            </w:r>
          </w:p>
        </w:tc>
        <w:tc>
          <w:tcPr>
            <w:tcW w:w="3850" w:type="dxa"/>
          </w:tcPr>
          <w:p w:rsidR="008810DD" w:rsidRPr="00AD678B" w:rsidRDefault="00B23056" w:rsidP="00AD678B">
            <w:pPr>
              <w:spacing w:before="30" w:after="30"/>
              <w:ind w:left="-78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Zwei Gesellschafter einer GmbH beabsichtigen</w:t>
            </w:r>
            <w:r w:rsidR="00576CBE" w:rsidRPr="00AD678B">
              <w:rPr>
                <w:rFonts w:ascii="Arial" w:hAnsi="Arial" w:cs="Arial"/>
                <w:sz w:val="20"/>
                <w:szCs w:val="20"/>
              </w:rPr>
              <w:t>,</w:t>
            </w:r>
            <w:r w:rsidRPr="00AD678B">
              <w:rPr>
                <w:rFonts w:ascii="Arial" w:hAnsi="Arial" w:cs="Arial"/>
                <w:sz w:val="20"/>
                <w:szCs w:val="20"/>
              </w:rPr>
              <w:t xml:space="preserve"> sich von </w:t>
            </w:r>
            <w:r w:rsidR="00576CBE" w:rsidRPr="00AD678B">
              <w:rPr>
                <w:rFonts w:ascii="Arial" w:hAnsi="Arial" w:cs="Arial"/>
                <w:sz w:val="20"/>
                <w:szCs w:val="20"/>
              </w:rPr>
              <w:t xml:space="preserve">dem </w:t>
            </w:r>
            <w:r w:rsidRPr="00AD678B">
              <w:rPr>
                <w:rFonts w:ascii="Arial" w:hAnsi="Arial" w:cs="Arial"/>
                <w:sz w:val="20"/>
                <w:szCs w:val="20"/>
              </w:rPr>
              <w:t>dritten geschäftsführenden Gesellschafter aus wi</w:t>
            </w:r>
            <w:r w:rsidR="00576CBE" w:rsidRPr="00AD678B">
              <w:rPr>
                <w:rFonts w:ascii="Arial" w:hAnsi="Arial" w:cs="Arial"/>
                <w:sz w:val="20"/>
                <w:szCs w:val="20"/>
              </w:rPr>
              <w:t>chtigem</w:t>
            </w:r>
            <w:r w:rsidRPr="00AD678B">
              <w:rPr>
                <w:rFonts w:ascii="Arial" w:hAnsi="Arial" w:cs="Arial"/>
                <w:sz w:val="20"/>
                <w:szCs w:val="20"/>
              </w:rPr>
              <w:t xml:space="preserve"> Grund zu trennen; </w:t>
            </w:r>
            <w:r w:rsidR="00576CBE" w:rsidRPr="00AD678B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AD678B">
              <w:rPr>
                <w:rFonts w:ascii="Arial" w:hAnsi="Arial" w:cs="Arial"/>
                <w:sz w:val="20"/>
                <w:szCs w:val="20"/>
              </w:rPr>
              <w:t xml:space="preserve">geschäftsführende Gesellschafter wird abberufen und </w:t>
            </w:r>
            <w:r w:rsidR="00576CBE" w:rsidRPr="00AD678B">
              <w:rPr>
                <w:rFonts w:ascii="Arial" w:hAnsi="Arial" w:cs="Arial"/>
                <w:sz w:val="20"/>
                <w:szCs w:val="20"/>
              </w:rPr>
              <w:t>es wird Ausschlußklage erhoben</w:t>
            </w:r>
            <w:r w:rsidRPr="00AD678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576CBE" w:rsidRPr="00AD678B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D7DA7" w:rsidRPr="00AD678B">
              <w:rPr>
                <w:rFonts w:ascii="Arial" w:hAnsi="Arial" w:cs="Arial"/>
                <w:sz w:val="20"/>
                <w:szCs w:val="20"/>
              </w:rPr>
              <w:t xml:space="preserve">Betroffene klagt </w:t>
            </w:r>
            <w:r w:rsidR="00576CBE" w:rsidRPr="00AD678B">
              <w:rPr>
                <w:rFonts w:ascii="Arial" w:hAnsi="Arial" w:cs="Arial"/>
                <w:sz w:val="20"/>
                <w:szCs w:val="20"/>
              </w:rPr>
              <w:t>gegen die Abberufung</w:t>
            </w:r>
            <w:r w:rsidR="002D7DA7" w:rsidRPr="00AD67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0" w:type="dxa"/>
          </w:tcPr>
          <w:p w:rsidR="00844564" w:rsidRPr="00AD678B" w:rsidRDefault="00844564" w:rsidP="00AD678B">
            <w:pPr>
              <w:spacing w:before="30" w:after="30"/>
              <w:ind w:left="-58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Beratung der Gesellschaft; Vorbereitung der Beschlüsse der Gesellschafter</w:t>
            </w:r>
            <w:r w:rsidR="00702C78" w:rsidRPr="00AD678B">
              <w:rPr>
                <w:rFonts w:ascii="Arial" w:hAnsi="Arial" w:cs="Arial"/>
                <w:sz w:val="20"/>
                <w:szCs w:val="20"/>
              </w:rPr>
              <w:t>-</w:t>
            </w:r>
            <w:r w:rsidRPr="00AD678B">
              <w:rPr>
                <w:rFonts w:ascii="Arial" w:hAnsi="Arial" w:cs="Arial"/>
                <w:sz w:val="20"/>
                <w:szCs w:val="20"/>
              </w:rPr>
              <w:t xml:space="preserve">versammlung; </w:t>
            </w:r>
            <w:r w:rsidR="00576CBE" w:rsidRPr="00AD678B">
              <w:rPr>
                <w:rFonts w:ascii="Arial" w:hAnsi="Arial" w:cs="Arial"/>
                <w:sz w:val="20"/>
                <w:szCs w:val="20"/>
              </w:rPr>
              <w:t>Begleitung</w:t>
            </w:r>
            <w:r w:rsidR="00702C78" w:rsidRPr="00AD678B">
              <w:rPr>
                <w:rFonts w:ascii="Arial" w:hAnsi="Arial" w:cs="Arial"/>
                <w:sz w:val="20"/>
                <w:szCs w:val="20"/>
              </w:rPr>
              <w:t xml:space="preserve"> der Gesellschafterversammlung; </w:t>
            </w:r>
            <w:r w:rsidR="00944C63" w:rsidRPr="00AD678B">
              <w:rPr>
                <w:rFonts w:ascii="Arial" w:hAnsi="Arial" w:cs="Arial"/>
                <w:sz w:val="20"/>
                <w:szCs w:val="20"/>
              </w:rPr>
              <w:t xml:space="preserve">Vertretung im </w:t>
            </w:r>
            <w:r w:rsidR="00702C78" w:rsidRPr="00AD678B">
              <w:rPr>
                <w:rFonts w:ascii="Arial" w:hAnsi="Arial" w:cs="Arial"/>
                <w:sz w:val="20"/>
                <w:szCs w:val="20"/>
              </w:rPr>
              <w:t xml:space="preserve">Verfahren vor </w:t>
            </w:r>
            <w:r w:rsidR="00576CBE" w:rsidRPr="00AD678B">
              <w:rPr>
                <w:rFonts w:ascii="Arial" w:hAnsi="Arial" w:cs="Arial"/>
                <w:sz w:val="20"/>
                <w:szCs w:val="20"/>
              </w:rPr>
              <w:t xml:space="preserve">dem </w:t>
            </w:r>
            <w:r w:rsidR="00702C78" w:rsidRPr="00AD678B">
              <w:rPr>
                <w:rFonts w:ascii="Arial" w:hAnsi="Arial" w:cs="Arial"/>
                <w:sz w:val="20"/>
                <w:szCs w:val="20"/>
              </w:rPr>
              <w:t xml:space="preserve">LG und </w:t>
            </w:r>
            <w:r w:rsidR="00576CBE" w:rsidRPr="00AD678B">
              <w:rPr>
                <w:rFonts w:ascii="Arial" w:hAnsi="Arial" w:cs="Arial"/>
                <w:sz w:val="20"/>
                <w:szCs w:val="20"/>
              </w:rPr>
              <w:t xml:space="preserve">dem </w:t>
            </w:r>
            <w:r w:rsidR="00702C78" w:rsidRPr="00AD678B">
              <w:rPr>
                <w:rFonts w:ascii="Arial" w:hAnsi="Arial" w:cs="Arial"/>
                <w:sz w:val="20"/>
                <w:szCs w:val="20"/>
              </w:rPr>
              <w:t>OLG</w:t>
            </w:r>
          </w:p>
          <w:p w:rsidR="008810DD" w:rsidRPr="00844564" w:rsidRDefault="008810DD" w:rsidP="00AD678B">
            <w:pPr>
              <w:tabs>
                <w:tab w:val="left" w:pos="1005"/>
              </w:tabs>
              <w:spacing w:before="30" w:after="30"/>
              <w:ind w:left="-119"/>
            </w:pPr>
          </w:p>
        </w:tc>
        <w:tc>
          <w:tcPr>
            <w:tcW w:w="2100" w:type="dxa"/>
          </w:tcPr>
          <w:p w:rsidR="008810DD" w:rsidRPr="00AD678B" w:rsidRDefault="004F5C71" w:rsidP="00AD678B">
            <w:pPr>
              <w:spacing w:before="30" w:after="30"/>
              <w:ind w:left="-3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10.09.09</w:t>
            </w:r>
            <w:r w:rsidR="00576CBE" w:rsidRPr="00AD678B">
              <w:rPr>
                <w:rFonts w:ascii="Arial" w:hAnsi="Arial" w:cs="Arial"/>
                <w:sz w:val="20"/>
                <w:szCs w:val="20"/>
              </w:rPr>
              <w:t xml:space="preserve"> bis 31.03.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576CBE" w:rsidRPr="00AD678B" w:rsidRDefault="00576CBE" w:rsidP="00AD678B">
            <w:pPr>
              <w:spacing w:before="30" w:after="30"/>
              <w:ind w:left="-38" w:right="-108"/>
              <w:rPr>
                <w:rFonts w:ascii="Arial" w:hAnsi="Arial" w:cs="Arial"/>
                <w:sz w:val="20"/>
                <w:szCs w:val="20"/>
              </w:rPr>
            </w:pPr>
          </w:p>
          <w:p w:rsidR="00702C78" w:rsidRDefault="00576CBE" w:rsidP="00AD678B">
            <w:pPr>
              <w:spacing w:before="30" w:after="30"/>
              <w:ind w:left="-38" w:right="-108"/>
            </w:pPr>
            <w:r w:rsidRPr="00AD678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02C78" w:rsidRPr="00AD678B">
              <w:rPr>
                <w:rFonts w:ascii="Arial" w:hAnsi="Arial" w:cs="Arial"/>
                <w:sz w:val="20"/>
                <w:szCs w:val="20"/>
              </w:rPr>
              <w:t>- abgeschlossen -</w:t>
            </w:r>
          </w:p>
        </w:tc>
        <w:tc>
          <w:tcPr>
            <w:tcW w:w="1600" w:type="dxa"/>
          </w:tcPr>
          <w:p w:rsidR="008810DD" w:rsidRPr="00AD678B" w:rsidRDefault="00702C78" w:rsidP="00AD678B">
            <w:pPr>
              <w:spacing w:before="30" w:after="30"/>
              <w:ind w:left="-38" w:right="-108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LG Stuttgart</w:t>
            </w:r>
          </w:p>
          <w:p w:rsidR="00702C78" w:rsidRPr="00AD678B" w:rsidRDefault="004F5C71" w:rsidP="00AD678B">
            <w:pPr>
              <w:spacing w:before="30" w:after="30"/>
              <w:ind w:left="-3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O 185/09</w:t>
            </w:r>
          </w:p>
          <w:p w:rsidR="00576CBE" w:rsidRPr="00AD678B" w:rsidRDefault="00576CBE" w:rsidP="00AD678B">
            <w:pPr>
              <w:spacing w:before="30" w:after="30"/>
              <w:ind w:left="-38" w:right="-108"/>
              <w:rPr>
                <w:rFonts w:ascii="Arial" w:hAnsi="Arial" w:cs="Arial"/>
                <w:sz w:val="20"/>
                <w:szCs w:val="20"/>
              </w:rPr>
            </w:pPr>
          </w:p>
          <w:p w:rsidR="00702C78" w:rsidRPr="00AD678B" w:rsidRDefault="00702C78" w:rsidP="00AD678B">
            <w:pPr>
              <w:spacing w:before="30" w:after="30"/>
              <w:ind w:left="-38" w:right="-108"/>
              <w:rPr>
                <w:rFonts w:ascii="Arial" w:hAnsi="Arial" w:cs="Arial"/>
                <w:sz w:val="20"/>
                <w:szCs w:val="20"/>
              </w:rPr>
            </w:pPr>
            <w:r w:rsidRPr="00AD678B">
              <w:rPr>
                <w:rFonts w:ascii="Arial" w:hAnsi="Arial" w:cs="Arial"/>
                <w:sz w:val="20"/>
                <w:szCs w:val="20"/>
              </w:rPr>
              <w:t>OLG Stuttgart</w:t>
            </w:r>
          </w:p>
          <w:p w:rsidR="00702C78" w:rsidRDefault="004F5C71" w:rsidP="00AD678B">
            <w:pPr>
              <w:spacing w:before="30" w:after="30"/>
              <w:ind w:left="-38" w:right="-108"/>
            </w:pPr>
            <w:r>
              <w:rPr>
                <w:rFonts w:ascii="Arial" w:hAnsi="Arial" w:cs="Arial"/>
                <w:sz w:val="20"/>
                <w:szCs w:val="20"/>
              </w:rPr>
              <w:t>20 U 23/10</w:t>
            </w:r>
          </w:p>
        </w:tc>
      </w:tr>
      <w:tr w:rsidR="007414D9" w:rsidTr="00AD678B">
        <w:trPr>
          <w:trHeight w:val="1134"/>
        </w:trPr>
        <w:tc>
          <w:tcPr>
            <w:tcW w:w="900" w:type="dxa"/>
          </w:tcPr>
          <w:p w:rsidR="007414D9" w:rsidRPr="00AD678B" w:rsidRDefault="007414D9" w:rsidP="00AD678B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414D9" w:rsidRPr="00AD678B" w:rsidRDefault="007414D9" w:rsidP="00AD678B">
            <w:pPr>
              <w:spacing w:before="30" w:after="3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414D9" w:rsidRPr="00AD678B" w:rsidRDefault="007414D9" w:rsidP="00AD678B">
            <w:pPr>
              <w:spacing w:before="30" w:after="3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</w:tcPr>
          <w:p w:rsidR="007414D9" w:rsidRPr="00AD678B" w:rsidRDefault="007414D9" w:rsidP="00AD678B">
            <w:pPr>
              <w:spacing w:before="30" w:after="30"/>
              <w:ind w:left="-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</w:tcPr>
          <w:p w:rsidR="007414D9" w:rsidRPr="00AD678B" w:rsidRDefault="007414D9" w:rsidP="00AD678B">
            <w:pPr>
              <w:spacing w:before="30" w:after="30"/>
              <w:ind w:left="-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7414D9" w:rsidRPr="00AD678B" w:rsidRDefault="007414D9" w:rsidP="00AD678B">
            <w:pPr>
              <w:spacing w:before="30" w:after="30"/>
              <w:ind w:left="-3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414D9" w:rsidRPr="00AD678B" w:rsidRDefault="007414D9" w:rsidP="00AD678B">
            <w:pPr>
              <w:spacing w:before="30" w:after="30"/>
              <w:ind w:left="-38"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0DD" w:rsidTr="00AD678B">
        <w:trPr>
          <w:trHeight w:val="567"/>
        </w:trPr>
        <w:tc>
          <w:tcPr>
            <w:tcW w:w="15500" w:type="dxa"/>
            <w:gridSpan w:val="7"/>
            <w:vAlign w:val="center"/>
          </w:tcPr>
          <w:p w:rsidR="008810DD" w:rsidRPr="00AD678B" w:rsidRDefault="008810DD" w:rsidP="008810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78B">
              <w:rPr>
                <w:rFonts w:ascii="Arial" w:hAnsi="Arial" w:cs="Arial"/>
                <w:b/>
                <w:sz w:val="20"/>
                <w:szCs w:val="20"/>
              </w:rPr>
              <w:t xml:space="preserve">II. Gestaltung von Gesellschaftsverträgen / Gründung / Umwandlungen </w:t>
            </w:r>
          </w:p>
        </w:tc>
      </w:tr>
      <w:tr w:rsidR="008810DD" w:rsidTr="00AD678B">
        <w:trPr>
          <w:trHeight w:val="567"/>
        </w:trPr>
        <w:tc>
          <w:tcPr>
            <w:tcW w:w="900" w:type="dxa"/>
          </w:tcPr>
          <w:p w:rsidR="008810DD" w:rsidRDefault="008810DD"/>
        </w:tc>
        <w:tc>
          <w:tcPr>
            <w:tcW w:w="1600" w:type="dxa"/>
          </w:tcPr>
          <w:p w:rsidR="008810DD" w:rsidRDefault="008810DD" w:rsidP="00AD678B">
            <w:pPr>
              <w:ind w:left="-308"/>
            </w:pPr>
          </w:p>
        </w:tc>
        <w:tc>
          <w:tcPr>
            <w:tcW w:w="1600" w:type="dxa"/>
          </w:tcPr>
          <w:p w:rsidR="008810DD" w:rsidRDefault="008810DD" w:rsidP="00AD678B">
            <w:pPr>
              <w:ind w:left="-308"/>
            </w:pPr>
          </w:p>
        </w:tc>
        <w:tc>
          <w:tcPr>
            <w:tcW w:w="3850" w:type="dxa"/>
          </w:tcPr>
          <w:p w:rsidR="008810DD" w:rsidRDefault="008810DD" w:rsidP="00AD678B">
            <w:pPr>
              <w:ind w:left="-308"/>
            </w:pPr>
          </w:p>
        </w:tc>
        <w:tc>
          <w:tcPr>
            <w:tcW w:w="3850" w:type="dxa"/>
          </w:tcPr>
          <w:p w:rsidR="008810DD" w:rsidRDefault="008810DD" w:rsidP="00AD678B">
            <w:pPr>
              <w:ind w:left="-308"/>
            </w:pPr>
          </w:p>
        </w:tc>
        <w:tc>
          <w:tcPr>
            <w:tcW w:w="2100" w:type="dxa"/>
          </w:tcPr>
          <w:p w:rsidR="008810DD" w:rsidRDefault="008810DD" w:rsidP="00AD678B">
            <w:pPr>
              <w:ind w:left="-308"/>
            </w:pPr>
          </w:p>
        </w:tc>
        <w:tc>
          <w:tcPr>
            <w:tcW w:w="1600" w:type="dxa"/>
          </w:tcPr>
          <w:p w:rsidR="008810DD" w:rsidRDefault="008810DD"/>
        </w:tc>
      </w:tr>
      <w:tr w:rsidR="008810DD" w:rsidTr="00AD678B">
        <w:trPr>
          <w:trHeight w:val="567"/>
        </w:trPr>
        <w:tc>
          <w:tcPr>
            <w:tcW w:w="15500" w:type="dxa"/>
            <w:gridSpan w:val="7"/>
            <w:vAlign w:val="center"/>
          </w:tcPr>
          <w:p w:rsidR="008810DD" w:rsidRPr="00AD678B" w:rsidRDefault="008810DD" w:rsidP="008810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78B">
              <w:rPr>
                <w:rFonts w:ascii="Arial" w:hAnsi="Arial" w:cs="Arial"/>
                <w:b/>
                <w:sz w:val="20"/>
                <w:szCs w:val="20"/>
              </w:rPr>
              <w:t xml:space="preserve">III. Sonstige Fälle aus dem Handels- und Gesellschaftsrecht </w:t>
            </w:r>
          </w:p>
        </w:tc>
      </w:tr>
      <w:tr w:rsidR="008810DD" w:rsidTr="00AD678B">
        <w:trPr>
          <w:trHeight w:val="567"/>
        </w:trPr>
        <w:tc>
          <w:tcPr>
            <w:tcW w:w="900" w:type="dxa"/>
          </w:tcPr>
          <w:p w:rsidR="008810DD" w:rsidRDefault="008810DD"/>
        </w:tc>
        <w:tc>
          <w:tcPr>
            <w:tcW w:w="1600" w:type="dxa"/>
          </w:tcPr>
          <w:p w:rsidR="008810DD" w:rsidRDefault="008810DD" w:rsidP="00AD678B">
            <w:pPr>
              <w:ind w:left="-308"/>
            </w:pPr>
          </w:p>
        </w:tc>
        <w:tc>
          <w:tcPr>
            <w:tcW w:w="1600" w:type="dxa"/>
          </w:tcPr>
          <w:p w:rsidR="008810DD" w:rsidRDefault="008810DD" w:rsidP="00AD678B">
            <w:pPr>
              <w:ind w:left="-308"/>
            </w:pPr>
          </w:p>
        </w:tc>
        <w:tc>
          <w:tcPr>
            <w:tcW w:w="3850" w:type="dxa"/>
          </w:tcPr>
          <w:p w:rsidR="008810DD" w:rsidRDefault="008810DD" w:rsidP="00AD678B">
            <w:pPr>
              <w:ind w:left="-308"/>
            </w:pPr>
          </w:p>
        </w:tc>
        <w:tc>
          <w:tcPr>
            <w:tcW w:w="3850" w:type="dxa"/>
          </w:tcPr>
          <w:p w:rsidR="008810DD" w:rsidRDefault="008810DD" w:rsidP="00AD678B">
            <w:pPr>
              <w:ind w:left="-308"/>
            </w:pPr>
          </w:p>
        </w:tc>
        <w:tc>
          <w:tcPr>
            <w:tcW w:w="2100" w:type="dxa"/>
          </w:tcPr>
          <w:p w:rsidR="008810DD" w:rsidRDefault="008810DD" w:rsidP="00AD678B">
            <w:pPr>
              <w:ind w:left="-308"/>
            </w:pPr>
          </w:p>
        </w:tc>
        <w:tc>
          <w:tcPr>
            <w:tcW w:w="1600" w:type="dxa"/>
          </w:tcPr>
          <w:p w:rsidR="008810DD" w:rsidRDefault="008810DD"/>
        </w:tc>
      </w:tr>
    </w:tbl>
    <w:p w:rsidR="00944C63" w:rsidRPr="00B96F6C" w:rsidRDefault="00305D60" w:rsidP="00305D60">
      <w:pPr>
        <w:jc w:val="center"/>
        <w:rPr>
          <w:rFonts w:ascii="Arial" w:hAnsi="Arial" w:cs="Arial"/>
          <w:b/>
          <w:u w:val="single"/>
        </w:rPr>
      </w:pPr>
      <w:r w:rsidRPr="00305D60">
        <w:rPr>
          <w:b/>
          <w:u w:val="single"/>
        </w:rPr>
        <w:br w:type="page"/>
      </w:r>
      <w:r w:rsidRPr="00B96F6C">
        <w:rPr>
          <w:rFonts w:ascii="Arial" w:hAnsi="Arial" w:cs="Arial"/>
          <w:b/>
          <w:u w:val="single"/>
        </w:rPr>
        <w:lastRenderedPageBreak/>
        <w:t>Ergänzende Hinweise</w:t>
      </w:r>
    </w:p>
    <w:p w:rsidR="00B96F6C" w:rsidRDefault="00B96F6C" w:rsidP="00305D60">
      <w:pPr>
        <w:jc w:val="center"/>
        <w:rPr>
          <w:b/>
          <w:u w:val="single"/>
        </w:rPr>
      </w:pPr>
    </w:p>
    <w:p w:rsidR="00B96F6C" w:rsidRPr="00DC335D" w:rsidRDefault="00B96F6C" w:rsidP="00B96F6C">
      <w:pPr>
        <w:pStyle w:val="NurText"/>
        <w:rPr>
          <w:rFonts w:ascii="Arial" w:hAnsi="Arial" w:cs="Arial"/>
        </w:rPr>
      </w:pPr>
    </w:p>
    <w:p w:rsidR="00DC335D" w:rsidRDefault="00DC335D" w:rsidP="00B96F6C">
      <w:pPr>
        <w:pStyle w:val="Nur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der Spalte "</w:t>
      </w:r>
      <w:r w:rsidRPr="00DC335D">
        <w:rPr>
          <w:rFonts w:ascii="Arial" w:hAnsi="Arial" w:cs="Arial"/>
        </w:rPr>
        <w:t>Gegenstand</w:t>
      </w:r>
      <w:r>
        <w:rPr>
          <w:rFonts w:ascii="Arial" w:hAnsi="Arial" w:cs="Arial"/>
        </w:rPr>
        <w:t>"</w:t>
      </w:r>
      <w:r w:rsidRPr="00DC335D">
        <w:rPr>
          <w:rFonts w:ascii="Arial" w:hAnsi="Arial" w:cs="Arial"/>
        </w:rPr>
        <w:t xml:space="preserve"> ist </w:t>
      </w:r>
      <w:r>
        <w:rPr>
          <w:rFonts w:ascii="Arial" w:hAnsi="Arial" w:cs="Arial"/>
        </w:rPr>
        <w:t xml:space="preserve">der Lebenssachverhalt </w:t>
      </w:r>
      <w:r w:rsidRPr="00DC335D">
        <w:rPr>
          <w:rFonts w:ascii="Arial" w:hAnsi="Arial" w:cs="Arial"/>
        </w:rPr>
        <w:t xml:space="preserve">so hinreichend zu beschreiben, dass die wesentlichen </w:t>
      </w:r>
      <w:r w:rsidRPr="00DC335D">
        <w:rPr>
          <w:rFonts w:ascii="Arial" w:hAnsi="Arial" w:cs="Arial"/>
          <w:b/>
        </w:rPr>
        <w:t>materiellen</w:t>
      </w:r>
      <w:r w:rsidRPr="00DC335D">
        <w:rPr>
          <w:rFonts w:ascii="Arial" w:hAnsi="Arial" w:cs="Arial"/>
        </w:rPr>
        <w:t xml:space="preserve"> Rechtsfragen </w:t>
      </w:r>
      <w:r w:rsidR="00B8227D">
        <w:rPr>
          <w:rFonts w:ascii="Arial" w:hAnsi="Arial" w:cs="Arial"/>
        </w:rPr>
        <w:t xml:space="preserve">(unter Benennung der einschlägigen Normen) </w:t>
      </w:r>
      <w:r w:rsidRPr="00DC335D">
        <w:rPr>
          <w:rFonts w:ascii="Arial" w:hAnsi="Arial" w:cs="Arial"/>
        </w:rPr>
        <w:t>ersichtlich sind und der konkrete Bezug zum jeweiligen Fach(teil)gebiet i. S. d. § 14 i) FAO hergestellt werden kann.</w:t>
      </w:r>
    </w:p>
    <w:p w:rsidR="00DC335D" w:rsidRDefault="00DC335D" w:rsidP="00DC335D">
      <w:pPr>
        <w:pStyle w:val="NurText"/>
        <w:rPr>
          <w:rFonts w:ascii="Arial" w:hAnsi="Arial" w:cs="Arial"/>
        </w:rPr>
      </w:pPr>
    </w:p>
    <w:p w:rsidR="00DC335D" w:rsidRDefault="00DC335D" w:rsidP="00B96F6C">
      <w:pPr>
        <w:pStyle w:val="Nur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der Spalte "Konkrete Art und Umfang der Tätigkeit" sind die </w:t>
      </w:r>
      <w:r w:rsidRPr="00DC335D">
        <w:rPr>
          <w:rFonts w:ascii="Arial" w:hAnsi="Arial" w:cs="Arial"/>
        </w:rPr>
        <w:t xml:space="preserve">Einzeltätigkeiten </w:t>
      </w:r>
      <w:r w:rsidRPr="00DC335D">
        <w:rPr>
          <w:rFonts w:ascii="Arial" w:hAnsi="Arial" w:cs="Arial"/>
          <w:b/>
        </w:rPr>
        <w:t>konkret</w:t>
      </w:r>
      <w:r w:rsidRPr="00DC335D">
        <w:rPr>
          <w:rFonts w:ascii="Arial" w:hAnsi="Arial" w:cs="Arial"/>
        </w:rPr>
        <w:t xml:space="preserve"> zu beschreiben. Dies gilt insbesondere für komplexere Fälle, weil nur dann über eine ggf. stärkere Gewichtung des Falles entschieden werden kann.</w:t>
      </w:r>
    </w:p>
    <w:p w:rsidR="00DC335D" w:rsidRDefault="00DC335D" w:rsidP="00DC335D">
      <w:pPr>
        <w:pStyle w:val="NurText"/>
        <w:ind w:left="720"/>
        <w:rPr>
          <w:rFonts w:ascii="Arial" w:hAnsi="Arial" w:cs="Arial"/>
        </w:rPr>
      </w:pPr>
    </w:p>
    <w:p w:rsidR="00B96F6C" w:rsidRPr="00B96F6C" w:rsidRDefault="00B96F6C" w:rsidP="00B96F6C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B96F6C">
        <w:rPr>
          <w:rFonts w:ascii="Arial" w:hAnsi="Arial" w:cs="Arial"/>
        </w:rPr>
        <w:t xml:space="preserve">Im Rahmen der </w:t>
      </w:r>
      <w:r w:rsidR="00467B5C">
        <w:rPr>
          <w:rFonts w:ascii="Arial" w:hAnsi="Arial" w:cs="Arial"/>
        </w:rPr>
        <w:t xml:space="preserve">nach § 5 Abs. 1 lit p) FAO </w:t>
      </w:r>
      <w:r w:rsidRPr="00B96F6C">
        <w:rPr>
          <w:rFonts w:ascii="Arial" w:hAnsi="Arial" w:cs="Arial"/>
        </w:rPr>
        <w:t>nachzuweisen</w:t>
      </w:r>
      <w:r w:rsidR="00467B5C">
        <w:rPr>
          <w:rFonts w:ascii="Arial" w:hAnsi="Arial" w:cs="Arial"/>
        </w:rPr>
        <w:t>den</w:t>
      </w:r>
      <w:r w:rsidRPr="00B96F6C">
        <w:rPr>
          <w:rFonts w:ascii="Arial" w:hAnsi="Arial" w:cs="Arial"/>
        </w:rPr>
        <w:t xml:space="preserve"> </w:t>
      </w:r>
      <w:r w:rsidR="004F5C71">
        <w:rPr>
          <w:rFonts w:ascii="Arial" w:hAnsi="Arial" w:cs="Arial"/>
        </w:rPr>
        <w:t xml:space="preserve">gerichtlichen Streitverfahren, Schieds- oder Mediationsverfahren </w:t>
      </w:r>
      <w:r w:rsidRPr="00B96F6C">
        <w:rPr>
          <w:rFonts w:ascii="Arial" w:hAnsi="Arial" w:cs="Arial"/>
        </w:rPr>
        <w:t xml:space="preserve">ist es </w:t>
      </w:r>
      <w:r w:rsidRPr="00B8227D">
        <w:rPr>
          <w:rFonts w:ascii="Arial" w:hAnsi="Arial" w:cs="Arial"/>
          <w:b/>
        </w:rPr>
        <w:t>nicht</w:t>
      </w:r>
      <w:r w:rsidRPr="00B96F6C">
        <w:rPr>
          <w:rFonts w:ascii="Arial" w:hAnsi="Arial" w:cs="Arial"/>
        </w:rPr>
        <w:t xml:space="preserve"> ausreichend, wenn </w:t>
      </w:r>
      <w:r w:rsidR="00467B5C">
        <w:rPr>
          <w:rFonts w:ascii="Arial" w:hAnsi="Arial" w:cs="Arial"/>
        </w:rPr>
        <w:t xml:space="preserve">in einem Fall </w:t>
      </w:r>
      <w:r w:rsidRPr="00B96F6C">
        <w:rPr>
          <w:rFonts w:ascii="Arial" w:hAnsi="Arial" w:cs="Arial"/>
        </w:rPr>
        <w:t xml:space="preserve">allein auf beiden Seiten Kaufleute beteiligt sind. Entscheidend ist, ob Gegenstand des Verfahrens eine konkrete </w:t>
      </w:r>
      <w:r w:rsidRPr="00467B5C">
        <w:rPr>
          <w:rFonts w:ascii="Arial" w:hAnsi="Arial" w:cs="Arial"/>
          <w:b/>
        </w:rPr>
        <w:t>materiell</w:t>
      </w:r>
      <w:r w:rsidRPr="00B96F6C">
        <w:rPr>
          <w:rFonts w:ascii="Arial" w:hAnsi="Arial" w:cs="Arial"/>
        </w:rPr>
        <w:t xml:space="preserve"> handelsrechtliche oder gesellschaftsrechtliche Frage ist. </w:t>
      </w:r>
    </w:p>
    <w:p w:rsidR="00B96F6C" w:rsidRPr="00B96F6C" w:rsidRDefault="00B96F6C" w:rsidP="00B96F6C">
      <w:pPr>
        <w:pStyle w:val="NurText"/>
        <w:rPr>
          <w:rFonts w:ascii="Arial" w:hAnsi="Arial" w:cs="Arial"/>
        </w:rPr>
      </w:pPr>
    </w:p>
    <w:p w:rsidR="00B96F6C" w:rsidRPr="00B96F6C" w:rsidRDefault="00B96F6C" w:rsidP="00B96F6C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B96F6C">
        <w:rPr>
          <w:rFonts w:ascii="Arial" w:hAnsi="Arial" w:cs="Arial"/>
        </w:rPr>
        <w:t xml:space="preserve">Nach § 5 Abs. 1 lit. p) FAO sind Fälle nachzuweisen, die die Gestaltung von Gesellschaftsverträgen oder die Gründung oder Umwandlung von Gesellschaften zum Gegenstand haben. </w:t>
      </w:r>
      <w:r w:rsidR="00467B5C">
        <w:rPr>
          <w:rFonts w:ascii="Arial" w:hAnsi="Arial" w:cs="Arial"/>
        </w:rPr>
        <w:t xml:space="preserve">Dabei kann auch die Änderung oder Ergänzung eines </w:t>
      </w:r>
      <w:r w:rsidR="00DB0918">
        <w:rPr>
          <w:rFonts w:ascii="Arial" w:hAnsi="Arial" w:cs="Arial"/>
        </w:rPr>
        <w:t>Gesellschaftsvertrags eine Gestaltung darstellen, wenn die Änderung oder Ergänzung einen gewissen gestalterischen Anspruch erfüllt</w:t>
      </w:r>
      <w:r w:rsidR="007A4E9C">
        <w:rPr>
          <w:rFonts w:ascii="Arial" w:hAnsi="Arial" w:cs="Arial"/>
        </w:rPr>
        <w:t>.</w:t>
      </w:r>
      <w:r w:rsidR="00DB0918">
        <w:rPr>
          <w:rFonts w:ascii="Arial" w:hAnsi="Arial" w:cs="Arial"/>
        </w:rPr>
        <w:t xml:space="preserve"> </w:t>
      </w:r>
      <w:r w:rsidR="007A4E9C">
        <w:rPr>
          <w:rFonts w:ascii="Arial" w:hAnsi="Arial" w:cs="Arial"/>
        </w:rPr>
        <w:t xml:space="preserve">Dieser ist </w:t>
      </w:r>
      <w:r w:rsidR="00DB0918">
        <w:rPr>
          <w:rFonts w:ascii="Arial" w:hAnsi="Arial" w:cs="Arial"/>
        </w:rPr>
        <w:t xml:space="preserve">darzulegen. </w:t>
      </w:r>
      <w:r w:rsidRPr="004F5C71">
        <w:rPr>
          <w:rFonts w:ascii="Arial" w:hAnsi="Arial" w:cs="Arial"/>
          <w:b/>
        </w:rPr>
        <w:t>Nicht</w:t>
      </w:r>
      <w:r w:rsidRPr="00B96F6C">
        <w:rPr>
          <w:rFonts w:ascii="Arial" w:hAnsi="Arial" w:cs="Arial"/>
        </w:rPr>
        <w:t xml:space="preserve"> ausreichend ist die Ausarbeitung oder Gestaltung von sonstigen Verträgen oder Vereinbarungen mit gesellschaftsrechtlichem Bezug </w:t>
      </w:r>
      <w:r w:rsidR="00DC335D">
        <w:rPr>
          <w:rFonts w:ascii="Arial" w:hAnsi="Arial" w:cs="Arial"/>
        </w:rPr>
        <w:t>(</w:t>
      </w:r>
      <w:r w:rsidRPr="00B96F6C">
        <w:rPr>
          <w:rFonts w:ascii="Arial" w:hAnsi="Arial" w:cs="Arial"/>
        </w:rPr>
        <w:t xml:space="preserve">wie </w:t>
      </w:r>
      <w:r w:rsidR="00D23366">
        <w:rPr>
          <w:rFonts w:ascii="Arial" w:hAnsi="Arial" w:cs="Arial"/>
        </w:rPr>
        <w:t>beispielsweise Anteilskaufverträge</w:t>
      </w:r>
      <w:r w:rsidR="00DC335D">
        <w:rPr>
          <w:rFonts w:ascii="Arial" w:hAnsi="Arial" w:cs="Arial"/>
        </w:rPr>
        <w:t>, Treuhandvereinbarungen bezüglich eines Gesellschaftsanteils u. ä.)</w:t>
      </w:r>
      <w:r w:rsidR="00D23366">
        <w:rPr>
          <w:rFonts w:ascii="Arial" w:hAnsi="Arial" w:cs="Arial"/>
        </w:rPr>
        <w:t>.</w:t>
      </w:r>
      <w:r w:rsidRPr="00B96F6C">
        <w:rPr>
          <w:rFonts w:ascii="Arial" w:hAnsi="Arial" w:cs="Arial"/>
        </w:rPr>
        <w:t xml:space="preserve"> </w:t>
      </w:r>
    </w:p>
    <w:p w:rsidR="00B96F6C" w:rsidRDefault="00B96F6C" w:rsidP="00B96F6C">
      <w:pPr>
        <w:rPr>
          <w:b/>
          <w:u w:val="single"/>
        </w:rPr>
      </w:pPr>
    </w:p>
    <w:p w:rsidR="00DC335D" w:rsidRDefault="00DC335D" w:rsidP="00B96F6C">
      <w:pPr>
        <w:rPr>
          <w:b/>
          <w:u w:val="single"/>
        </w:rPr>
      </w:pPr>
    </w:p>
    <w:p w:rsidR="00DC335D" w:rsidRPr="001425B4" w:rsidRDefault="00DC335D" w:rsidP="00DC335D">
      <w:pPr>
        <w:pStyle w:val="Funotentext"/>
      </w:pPr>
    </w:p>
    <w:p w:rsidR="00DC335D" w:rsidRPr="00305D60" w:rsidRDefault="00DC335D" w:rsidP="00DC335D">
      <w:pPr>
        <w:rPr>
          <w:b/>
          <w:u w:val="single"/>
        </w:rPr>
      </w:pPr>
    </w:p>
    <w:sectPr w:rsidR="00DC335D" w:rsidRPr="00305D60" w:rsidSect="001425B4">
      <w:pgSz w:w="16834" w:h="11909" w:orient="landscape" w:code="9"/>
      <w:pgMar w:top="851" w:right="1418" w:bottom="851" w:left="720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AA" w:rsidRDefault="005718AA">
      <w:r>
        <w:separator/>
      </w:r>
    </w:p>
  </w:endnote>
  <w:endnote w:type="continuationSeparator" w:id="0">
    <w:p w:rsidR="005718AA" w:rsidRDefault="0057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AA" w:rsidRDefault="005718AA">
      <w:r>
        <w:separator/>
      </w:r>
    </w:p>
  </w:footnote>
  <w:footnote w:type="continuationSeparator" w:id="0">
    <w:p w:rsidR="005718AA" w:rsidRDefault="00571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78E7"/>
    <w:multiLevelType w:val="hybridMultilevel"/>
    <w:tmpl w:val="838293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0DD"/>
    <w:rsid w:val="00014CDA"/>
    <w:rsid w:val="00025B0A"/>
    <w:rsid w:val="00085AA2"/>
    <w:rsid w:val="000D3214"/>
    <w:rsid w:val="001425B4"/>
    <w:rsid w:val="001C4F08"/>
    <w:rsid w:val="002160D0"/>
    <w:rsid w:val="00217AA2"/>
    <w:rsid w:val="00260D78"/>
    <w:rsid w:val="002D7DA7"/>
    <w:rsid w:val="002F4362"/>
    <w:rsid w:val="00305D60"/>
    <w:rsid w:val="003F6A87"/>
    <w:rsid w:val="00467B5C"/>
    <w:rsid w:val="00492166"/>
    <w:rsid w:val="004B5DB6"/>
    <w:rsid w:val="004F3F93"/>
    <w:rsid w:val="004F5C71"/>
    <w:rsid w:val="00524F17"/>
    <w:rsid w:val="005718AA"/>
    <w:rsid w:val="00576CBE"/>
    <w:rsid w:val="00702C78"/>
    <w:rsid w:val="007414D9"/>
    <w:rsid w:val="007552D6"/>
    <w:rsid w:val="007A4E9C"/>
    <w:rsid w:val="007C5119"/>
    <w:rsid w:val="007E4495"/>
    <w:rsid w:val="007F6215"/>
    <w:rsid w:val="0083307F"/>
    <w:rsid w:val="00834DFF"/>
    <w:rsid w:val="00844564"/>
    <w:rsid w:val="00851213"/>
    <w:rsid w:val="008619B3"/>
    <w:rsid w:val="00876952"/>
    <w:rsid w:val="008810DD"/>
    <w:rsid w:val="00892EAE"/>
    <w:rsid w:val="008A7ADB"/>
    <w:rsid w:val="008D41A7"/>
    <w:rsid w:val="00901191"/>
    <w:rsid w:val="0092041A"/>
    <w:rsid w:val="00944C63"/>
    <w:rsid w:val="0097175C"/>
    <w:rsid w:val="0099546B"/>
    <w:rsid w:val="009D5337"/>
    <w:rsid w:val="00A42448"/>
    <w:rsid w:val="00AD678B"/>
    <w:rsid w:val="00AF02DF"/>
    <w:rsid w:val="00B23056"/>
    <w:rsid w:val="00B8227D"/>
    <w:rsid w:val="00B96F6C"/>
    <w:rsid w:val="00BB006E"/>
    <w:rsid w:val="00C060C7"/>
    <w:rsid w:val="00C35EF8"/>
    <w:rsid w:val="00C92326"/>
    <w:rsid w:val="00CC35C7"/>
    <w:rsid w:val="00D13E5E"/>
    <w:rsid w:val="00D23366"/>
    <w:rsid w:val="00DA32B6"/>
    <w:rsid w:val="00DB0918"/>
    <w:rsid w:val="00DC335D"/>
    <w:rsid w:val="00DC5742"/>
    <w:rsid w:val="00DC6622"/>
    <w:rsid w:val="00DE39D3"/>
    <w:rsid w:val="00E045BD"/>
    <w:rsid w:val="00E648A4"/>
    <w:rsid w:val="00E81450"/>
    <w:rsid w:val="00E94F27"/>
    <w:rsid w:val="00F11229"/>
    <w:rsid w:val="00F5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A7ADB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B96F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berschrift6">
    <w:name w:val="heading 6"/>
    <w:basedOn w:val="Standard"/>
    <w:next w:val="Standard"/>
    <w:qFormat/>
    <w:rsid w:val="00A4244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berschrift6"/>
    <w:next w:val="Ebene7"/>
    <w:qFormat/>
    <w:rsid w:val="00D13E5E"/>
    <w:pPr>
      <w:keepNext/>
      <w:spacing w:before="0" w:after="340" w:line="340" w:lineRule="exact"/>
      <w:ind w:left="3402" w:hanging="567"/>
      <w:jc w:val="both"/>
      <w:outlineLvl w:val="6"/>
    </w:pPr>
    <w:rPr>
      <w:b w:val="0"/>
      <w:bCs w:val="0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7"/>
    <w:rsid w:val="00A42448"/>
    <w:pPr>
      <w:widowControl w:val="0"/>
    </w:pPr>
    <w:rPr>
      <w:lang w:val="en-GB"/>
    </w:rPr>
  </w:style>
  <w:style w:type="paragraph" w:customStyle="1" w:styleId="ber7">
    <w:name w:val="über7"/>
    <w:basedOn w:val="berschrift6"/>
    <w:rsid w:val="00A42448"/>
    <w:pPr>
      <w:keepNext/>
      <w:widowControl w:val="0"/>
      <w:spacing w:before="0" w:after="340" w:line="340" w:lineRule="exact"/>
      <w:ind w:left="3402" w:hanging="567"/>
      <w:jc w:val="both"/>
    </w:pPr>
    <w:rPr>
      <w:b w:val="0"/>
      <w:bCs w:val="0"/>
      <w:color w:val="000000"/>
      <w:sz w:val="24"/>
      <w:szCs w:val="24"/>
      <w:lang w:val="en-GB"/>
    </w:rPr>
  </w:style>
  <w:style w:type="paragraph" w:customStyle="1" w:styleId="Ebene7">
    <w:name w:val="Ebene 7"/>
    <w:basedOn w:val="Standard"/>
    <w:rsid w:val="00025B0A"/>
    <w:pPr>
      <w:tabs>
        <w:tab w:val="left" w:pos="6237"/>
        <w:tab w:val="decimal" w:pos="8222"/>
        <w:tab w:val="right" w:pos="8787"/>
      </w:tabs>
      <w:spacing w:after="340" w:line="340" w:lineRule="exact"/>
      <w:ind w:left="3402"/>
      <w:jc w:val="both"/>
    </w:pPr>
  </w:style>
  <w:style w:type="paragraph" w:customStyle="1" w:styleId="Source0">
    <w:name w:val="Source 0"/>
    <w:basedOn w:val="Blocktext"/>
    <w:rsid w:val="004F3F93"/>
    <w:pPr>
      <w:tabs>
        <w:tab w:val="right" w:pos="8787"/>
      </w:tabs>
      <w:spacing w:after="340" w:line="240" w:lineRule="exact"/>
      <w:ind w:left="851" w:right="0" w:hanging="851"/>
      <w:jc w:val="both"/>
    </w:pPr>
    <w:rPr>
      <w:i/>
      <w:lang w:val="en-GB"/>
    </w:rPr>
  </w:style>
  <w:style w:type="paragraph" w:styleId="Blocktext">
    <w:name w:val="Block Text"/>
    <w:basedOn w:val="Standard"/>
    <w:rsid w:val="004F3F93"/>
    <w:pPr>
      <w:spacing w:after="120"/>
      <w:ind w:left="1440" w:right="1440"/>
    </w:pPr>
  </w:style>
  <w:style w:type="paragraph" w:customStyle="1" w:styleId="Source1">
    <w:name w:val="Source1"/>
    <w:basedOn w:val="Standard"/>
    <w:rsid w:val="004B5DB6"/>
    <w:pPr>
      <w:tabs>
        <w:tab w:val="right" w:pos="8787"/>
      </w:tabs>
      <w:spacing w:after="340" w:line="240" w:lineRule="exact"/>
      <w:ind w:left="1418" w:hanging="851"/>
      <w:jc w:val="both"/>
    </w:pPr>
    <w:rPr>
      <w:i/>
      <w:lang w:val="en-GB"/>
    </w:rPr>
  </w:style>
  <w:style w:type="paragraph" w:customStyle="1" w:styleId="Source2">
    <w:name w:val="Source2"/>
    <w:basedOn w:val="Source1"/>
    <w:rsid w:val="004B5DB6"/>
    <w:pPr>
      <w:ind w:left="1985"/>
    </w:pPr>
  </w:style>
  <w:style w:type="paragraph" w:customStyle="1" w:styleId="Source3">
    <w:name w:val="Source3"/>
    <w:basedOn w:val="Source2"/>
    <w:rsid w:val="004B5DB6"/>
    <w:pPr>
      <w:ind w:left="2552"/>
    </w:pPr>
  </w:style>
  <w:style w:type="paragraph" w:customStyle="1" w:styleId="Source4">
    <w:name w:val="Source4"/>
    <w:basedOn w:val="Source3"/>
    <w:rsid w:val="004B5DB6"/>
    <w:pPr>
      <w:ind w:left="3119"/>
    </w:pPr>
  </w:style>
  <w:style w:type="paragraph" w:customStyle="1" w:styleId="Source5">
    <w:name w:val="Source5"/>
    <w:basedOn w:val="Source4"/>
    <w:rsid w:val="004B5DB6"/>
    <w:pPr>
      <w:ind w:left="3686"/>
    </w:pPr>
  </w:style>
  <w:style w:type="paragraph" w:customStyle="1" w:styleId="Source6">
    <w:name w:val="Source6"/>
    <w:basedOn w:val="Source5"/>
    <w:rsid w:val="004B5DB6"/>
    <w:pPr>
      <w:ind w:left="4253"/>
    </w:pPr>
  </w:style>
  <w:style w:type="table" w:styleId="Tabellengitternetz">
    <w:name w:val="Table Grid"/>
    <w:basedOn w:val="NormaleTabelle"/>
    <w:rsid w:val="0088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944C63"/>
    <w:rPr>
      <w:sz w:val="20"/>
      <w:szCs w:val="20"/>
    </w:rPr>
  </w:style>
  <w:style w:type="character" w:styleId="Funotenzeichen">
    <w:name w:val="footnote reference"/>
    <w:semiHidden/>
    <w:rsid w:val="00944C63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B96F6C"/>
    <w:rPr>
      <w:rFonts w:ascii="Verdana" w:hAnsi="Verdana"/>
      <w:sz w:val="20"/>
      <w:szCs w:val="21"/>
      <w:lang/>
    </w:rPr>
  </w:style>
  <w:style w:type="character" w:customStyle="1" w:styleId="NurTextZchn">
    <w:name w:val="Nur Text Zchn"/>
    <w:link w:val="NurText"/>
    <w:uiPriority w:val="99"/>
    <w:rsid w:val="00B96F6C"/>
    <w:rPr>
      <w:rFonts w:ascii="Verdana" w:hAnsi="Verdana"/>
      <w:szCs w:val="21"/>
    </w:rPr>
  </w:style>
  <w:style w:type="character" w:customStyle="1" w:styleId="berschrift3Zchn">
    <w:name w:val="Überschrift 3 Zchn"/>
    <w:link w:val="berschrift3"/>
    <w:rsid w:val="00B96F6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9946-B43B-4F57-BF6D-FFA9BA61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Fallliste gemäß § 6 Abs</vt:lpstr>
    </vt:vector>
  </TitlesOfParts>
  <Company>CMS Hasche Sigle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Fallliste gemäß § 6 Abs</dc:title>
  <dc:creator>CMS Hasche Sigle</dc:creator>
  <cp:lastModifiedBy>rak02</cp:lastModifiedBy>
  <cp:revision>2</cp:revision>
  <cp:lastPrinted>2012-08-23T11:13:00Z</cp:lastPrinted>
  <dcterms:created xsi:type="dcterms:W3CDTF">2014-06-24T07:37:00Z</dcterms:created>
  <dcterms:modified xsi:type="dcterms:W3CDTF">2014-06-24T07:37:00Z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-639401024</vt:i4>
  </property>
  <property fmtid="{D5CDD505-2E9C-101B-9397-08002B2CF9AE}" pid="3" name="_NewReviewCycle">
    <vt:lpwstr/>
  </property>
  <property fmtid="{D5CDD505-2E9C-101B-9397-08002B2CF9AE}" pid="4" name="_EmailSubject">
    <vt:lpwstr>Prüfungsausschuss Handels- und Gesellschaftsrecht</vt:lpwstr>
  </property>
  <property fmtid="{D5CDD505-2E9C-101B-9397-08002B2CF9AE}" pid="5" name="_AuthorEmail">
    <vt:lpwstr>jochen.lamb@cms-hs.com</vt:lpwstr>
  </property>
  <property fmtid="{D5CDD505-2E9C-101B-9397-08002B2CF9AE}" pid="6" name="_AuthorEmailDisplayName">
    <vt:lpwstr>Lamb, Jochen (jochen.lamb@cms-hs.com)</vt:lpwstr>
  </property>
  <property fmtid="{D5CDD505-2E9C-101B-9397-08002B2CF9AE}" pid="7" name="_ReviewingToolsShownOnce">
    <vt:lpwstr/>
  </property>
</Properties>
</file>